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7.xml" ContentType="application/vnd.openxmlformats-officedocument.wordprocessingml.header+xml"/>
  <Override PartName="/word/header5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>
      <w:pPr>
        <w:pStyle w:val="Normal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ОКПД 2 - 42.22.22.110 Выполнение строительно-монтажных работ по строительству распределительных сетей для технологического присоединения объекта: гараж ГБПОУ РС (Я) «ЦПРКА», расположенного в Республике Саха (Якутия), Булунский район, п. Тикси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85401</w:t>
      </w:r>
      <w:r>
        <w:rPr>
          <w:b/>
          <w:sz w:val="26"/>
          <w:szCs w:val="26"/>
        </w:rPr>
        <w:t>-КС ПИР СМР-2026-СахаЭ</w:t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r>
            <w:fldChar w:fldCharType="begin"/>
          </w:r>
          <w:r>
            <w:rPr>
              <w:webHidden/>
              <w:rStyle w:val="Style15"/>
              <w:vanish w:val="false"/>
            </w:rPr>
            <w:instrText xml:space="preserve"> TOC \z \o "1-4" \u \h</w:instrText>
          </w:r>
          <w:r>
            <w:rPr>
              <w:webHidden/>
              <w:rStyle w:val="Style15"/>
              <w:vanish w:val="false"/>
            </w:rPr>
            <w:fldChar w:fldCharType="separate"/>
          </w:r>
          <w:hyperlink w:anchor="_Toc124252887">
            <w:r>
              <w:rPr>
                <w:webHidden/>
                <w:rStyle w:val="Style15"/>
                <w:vanish w:val="false"/>
              </w:rPr>
              <w:t>1.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_Toc124252887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>Общие сведения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4252888">
            <w:r>
              <w:rPr>
                <w:webHidden/>
                <w:rStyle w:val="Style15"/>
                <w:iCs/>
                <w:vanish w:val="false"/>
              </w:rPr>
              <w:t>1.1.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_Toc124252888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>Обозначения и сокращения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4252889">
            <w:r>
              <w:rPr>
                <w:webHidden/>
                <w:rStyle w:val="Style15"/>
                <w:iCs/>
                <w:vanish w:val="false"/>
              </w:rPr>
              <w:t>1.2.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</w:rPr>
              <w:t>Наименование закупаемой продукции</w:t>
              <w:tab/>
            </w:r>
          </w:hyperlink>
          <w:r>
            <w:rPr/>
            <w:t>3</w:t>
          </w:r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r>
            <w:rPr>
              <w:iCs/>
            </w:rPr>
            <w:t>1.3.</w:t>
          </w:r>
          <w:r>
            <w:rPr>
              <w:rFonts w:eastAsia="" w:cs="" w:ascii="Calibri" w:hAnsi="Calibri" w:asciiTheme="minorHAnsi" w:cstheme="minorBidi" w:eastAsiaTheme="minorEastAsia" w:hAnsiTheme="minorHAnsi"/>
              <w:sz w:val="22"/>
              <w:szCs w:val="22"/>
            </w:rPr>
            <w:tab/>
          </w:r>
          <w:r>
            <w:rPr/>
            <w:t>Цель выполнения работ</w:t>
            <w:tab/>
            <w:t>3</w:t>
          </w:r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4252891">
            <w:r>
              <w:rPr>
                <w:webHidden/>
                <w:rStyle w:val="Style15"/>
                <w:iCs/>
                <w:vanish w:val="false"/>
              </w:rPr>
              <w:t>1.4.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</w:rPr>
              <w:t>Существующее положение</w:t>
              <w:tab/>
            </w:r>
          </w:hyperlink>
          <w:r>
            <w:rPr/>
            <w:t>3</w:t>
          </w:r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4252893">
            <w:r>
              <w:rPr>
                <w:webHidden/>
                <w:rStyle w:val="Style15"/>
                <w:iCs/>
                <w:vanish w:val="false"/>
              </w:rPr>
              <w:t>1.5.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_Toc124252893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4252894">
            <w:r>
              <w:rPr>
                <w:webHidden/>
                <w:rStyle w:val="Style15"/>
                <w:iCs/>
                <w:vanish w:val="false"/>
              </w:rPr>
              <w:t>1.6.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_Toc124252894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>Иные требования и сведения общего характера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252895">
            <w:r>
              <w:rPr>
                <w:webHidden/>
                <w:rStyle w:val="Style15"/>
                <w:vanish w:val="false"/>
              </w:rPr>
              <w:t>2.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5"/>
                <w:iCs/>
              </w:rPr>
              <w:t>Требования к продукции</w:t>
            </w:r>
            <w:r>
              <w:rPr>
                <w:rStyle w:val="Style15"/>
              </w:rPr>
              <w:tab/>
            </w:r>
          </w:hyperlink>
          <w:r>
            <w:rPr/>
            <w:t>4</w:t>
          </w:r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4252896">
            <w:r>
              <w:rPr>
                <w:webHidden/>
                <w:rStyle w:val="Style15"/>
                <w:iCs/>
                <w:vanish w:val="false"/>
              </w:rPr>
              <w:t>2.1.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</w:rPr>
              <w:t>Требования к объемам и срокам выполнения работ</w:t>
              <w:tab/>
            </w:r>
          </w:hyperlink>
          <w:r>
            <w:rPr/>
            <w:t>4</w:t>
          </w:r>
        </w:p>
        <w:p>
          <w:pPr>
            <w:pStyle w:val="TOC3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4252897">
            <w:r>
              <w:rPr>
                <w:webHidden/>
                <w:rStyle w:val="Style15"/>
                <w:vanish w:val="false"/>
              </w:rPr>
              <w:t>2.1.1.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</w:rPr>
              <w:t>Требования к видам и объемам работ</w:t>
              <w:tab/>
            </w:r>
          </w:hyperlink>
          <w:r>
            <w:rPr/>
            <w:t>4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252898">
            <w:r>
              <w:rPr>
                <w:webHidden/>
                <w:rStyle w:val="Style15"/>
                <w:vanish w:val="false"/>
              </w:rPr>
              <w:t>Таблица 1. Перечень и объем выполняемых работ</w:t>
              <w:tab/>
            </w:r>
          </w:hyperlink>
          <w:r>
            <w:rPr/>
            <w:t>4</w:t>
          </w:r>
        </w:p>
        <w:p>
          <w:pPr>
            <w:pStyle w:val="TOC3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4252899">
            <w:r>
              <w:rPr>
                <w:webHidden/>
                <w:rStyle w:val="Style15"/>
                <w:vanish w:val="false"/>
              </w:rPr>
              <w:t>2.1.2.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</w:rPr>
              <w:t>Требования к срокам выполнения работ</w:t>
              <w:tab/>
            </w:r>
          </w:hyperlink>
          <w:r>
            <w:rPr/>
            <w:t>11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252900">
            <w:r>
              <w:rPr>
                <w:webHidden/>
                <w:rStyle w:val="Style15"/>
                <w:vanish w:val="false"/>
              </w:rPr>
              <w:t>Таблица 2. Требования по срокам выполнения работ</w:t>
              <w:tab/>
            </w:r>
          </w:hyperlink>
          <w:r>
            <w:rPr/>
            <w:t>11</w:t>
          </w:r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4252901">
            <w:r>
              <w:rPr>
                <w:webHidden/>
                <w:rStyle w:val="Style15"/>
                <w:iCs/>
                <w:vanish w:val="false"/>
              </w:rPr>
              <w:t>2.2.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</w:rPr>
              <w:t>Требования к качеству работ</w:t>
              <w:tab/>
            </w:r>
          </w:hyperlink>
          <w:r>
            <w:rPr/>
            <w:t>12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252902">
            <w:r>
              <w:rPr>
                <w:webHidden/>
                <w:rStyle w:val="Style15"/>
                <w:vanish w:val="false"/>
              </w:rPr>
              <w:t>Таблица 3. Требования к качеству работ</w:t>
              <w:tab/>
            </w:r>
          </w:hyperlink>
          <w:r>
            <w:rPr/>
            <w:t>12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252914">
            <w:r>
              <w:rPr>
                <w:webHidden/>
                <w:rStyle w:val="Style15"/>
                <w:vanish w:val="false"/>
              </w:rPr>
              <w:t>3.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5"/>
                <w:rFonts w:eastAsia="" w:cs="" w:cstheme="minorBidi" w:eastAsiaTheme="minorEastAsia"/>
                <w:iCs/>
              </w:rPr>
              <w:t>Специальные требования</w:t>
            </w:r>
            <w:r>
              <w:rPr>
                <w:rStyle w:val="Style15"/>
              </w:rPr>
              <w:tab/>
              <w:t>2</w:t>
            </w:r>
          </w:hyperlink>
          <w:r>
            <w:rPr/>
            <w:t>8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252915">
            <w:r>
              <w:rPr>
                <w:webHidden/>
                <w:rStyle w:val="Style15"/>
                <w:vanish w:val="false"/>
              </w:rPr>
              <w:t>4.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</w:hyperlink>
          <w:hyperlink w:anchor="_Toc12425291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_Toc124252914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eastAsia="" w:cs="" w:cstheme="minorBidi" w:eastAsiaTheme="minorEastAsia"/>
                <w:iCs/>
                <w:vanish w:val="false"/>
              </w:rPr>
              <w:t>Требования к Участникам закупочных процедур в части ценообразования</w:t>
            </w:r>
            <w:r>
              <w:rPr>
                <w:webHidden/>
              </w:rPr>
              <w:fldChar w:fldCharType="end"/>
            </w:r>
          </w:hyperlink>
          <w:hyperlink w:anchor="_Toc12425291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_Toc124252915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vanish w:val="false"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  <w:r>
            <w:rPr/>
            <w:t>9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252916">
            <w:r>
              <w:rPr>
                <w:webHidden/>
                <w:rStyle w:val="Style15"/>
                <w:vanish w:val="false"/>
              </w:rPr>
              <w:t>5.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5"/>
                <w:iCs/>
              </w:rPr>
              <w:t>Приложения</w:t>
            </w:r>
            <w:r>
              <w:rPr>
                <w:rStyle w:val="Style15"/>
              </w:rPr>
              <w:tab/>
            </w:r>
          </w:hyperlink>
          <w:r>
            <w:rPr/>
            <w:t>30</w:t>
          </w:r>
          <w:r>
            <w:rPr/>
            <w:fldChar w:fldCharType="end"/>
          </w:r>
        </w:p>
      </w:sdtContent>
    </w:sdt>
    <w:p>
      <w:pPr>
        <w:pStyle w:val="Heading2"/>
        <w:numPr>
          <w:ilvl w:val="0"/>
        </w:numPr>
        <w:tabs>
          <w:tab w:val="clear" w:pos="0"/>
        </w:tabs>
        <w:ind w:lef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caps/>
          <w:lang w:val="ru-RU"/>
        </w:rPr>
      </w:pPr>
      <w:bookmarkStart w:id="0" w:name="_Toc124252887"/>
      <w:bookmarkStart w:id="1" w:name="_Toc51339692"/>
      <w:r>
        <w:rPr>
          <w:lang w:val="ru-RU"/>
        </w:rPr>
        <w:t>Общие сведения</w:t>
      </w:r>
      <w:bookmarkEnd w:id="0"/>
      <w:bookmarkEnd w:id="1"/>
    </w:p>
    <w:p>
      <w:pPr>
        <w:pStyle w:val="Heading4"/>
        <w:numPr>
          <w:ilvl w:val="1"/>
          <w:numId w:val="3"/>
        </w:numPr>
        <w:rPr/>
      </w:pPr>
      <w:bookmarkStart w:id="2" w:name="_Toc124252888"/>
      <w:bookmarkStart w:id="3" w:name="_Toc46743505"/>
      <w:r>
        <w:rPr/>
        <w:t>Обозначения и сокращения</w:t>
      </w:r>
      <w:bookmarkEnd w:id="2"/>
      <w:bookmarkEnd w:id="3"/>
    </w:p>
    <w:p>
      <w:pPr>
        <w:pStyle w:val="Normal"/>
        <w:rPr>
          <w:rStyle w:val="Style8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СМР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строительно-монтажные работы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Style w:val="Style8"/>
                <w:b w:val="false"/>
                <w:iCs/>
                <w:sz w:val="24"/>
                <w:szCs w:val="24"/>
                <w:shd w:fill="auto" w:val="clear"/>
              </w:rPr>
            </w:pPr>
            <w:r>
              <w:rPr>
                <w:iCs/>
                <w:sz w:val="24"/>
                <w:szCs w:val="24"/>
              </w:rPr>
              <w:t>МТР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Style w:val="Style8"/>
                <w:b w:val="false"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материально-технические ресурсы, включая материалы и оборудование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проект производства работ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Style w:val="Style8"/>
                <w:b w:val="false"/>
                <w:iCs/>
                <w:sz w:val="24"/>
                <w:szCs w:val="24"/>
                <w:shd w:fill="auto" w:val="clear"/>
              </w:rPr>
            </w:pPr>
            <w:r>
              <w:rPr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Style w:val="Style8"/>
                <w:b w:val="false"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СРО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саморегулируемая организация</w:t>
            </w:r>
          </w:p>
        </w:tc>
      </w:tr>
    </w:tbl>
    <w:p>
      <w:pPr>
        <w:pStyle w:val="Heading4"/>
        <w:numPr>
          <w:ilvl w:val="0"/>
        </w:numPr>
        <w:tabs>
          <w:tab w:val="clear" w:pos="0"/>
        </w:tabs>
        <w:ind w:left="432" w:hanging="0"/>
        <w:rPr/>
      </w:pPr>
      <w:r>
        <w:rPr/>
      </w:r>
    </w:p>
    <w:p>
      <w:pPr>
        <w:pStyle w:val="Heading4"/>
        <w:numPr>
          <w:ilvl w:val="1"/>
          <w:numId w:val="3"/>
        </w:numPr>
        <w:rPr/>
      </w:pPr>
      <w:bookmarkStart w:id="4" w:name="_Toc124252889"/>
      <w:bookmarkStart w:id="5" w:name="_Toc46743506"/>
      <w:r>
        <w:rPr/>
        <w:t>Наименование закупаемой продукции</w:t>
      </w:r>
      <w:bookmarkEnd w:id="4"/>
      <w:bookmarkEnd w:id="5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ind w:firstLine="567"/>
        <w:jc w:val="both"/>
        <w:rPr/>
      </w:pPr>
      <w:r>
        <w:rPr>
          <w:rStyle w:val="Style8"/>
          <w:rFonts w:eastAsia="Calibri"/>
          <w:b w:val="false"/>
          <w:bCs/>
          <w:i w:val="false"/>
          <w:sz w:val="24"/>
          <w:szCs w:val="24"/>
          <w:shd w:fill="auto" w:val="clear"/>
          <w:lang w:eastAsia="x-none"/>
        </w:rPr>
        <w:t>ОКПД 2 - 42.22.22.110 Выполнение строительно-монтажных работ по строительству распределительных сетей для технологического присоединения объекта: гараж ГБПОУ РС (Я) «ЦПРКА», расположенного в Республике Саха (Якутия), Булунский район, п. Тикси</w:t>
      </w:r>
    </w:p>
    <w:p>
      <w:pPr>
        <w:pStyle w:val="Heading4"/>
        <w:numPr>
          <w:ilvl w:val="1"/>
          <w:numId w:val="3"/>
        </w:numPr>
        <w:spacing w:before="240" w:after="60"/>
        <w:ind w:left="431" w:hanging="431"/>
        <w:rPr/>
      </w:pPr>
      <w:bookmarkStart w:id="6" w:name="_Toc124252890"/>
      <w:bookmarkStart w:id="7" w:name="_Toc46743507"/>
      <w:r>
        <w:rPr/>
        <w:t xml:space="preserve">Цель </w:t>
      </w:r>
      <w:bookmarkEnd w:id="7"/>
      <w:r>
        <w:rPr>
          <w:lang w:val="ru-RU"/>
        </w:rPr>
        <w:t>выполнения работ</w:t>
      </w:r>
      <w:bookmarkEnd w:id="6"/>
    </w:p>
    <w:p>
      <w:pPr>
        <w:pStyle w:val="Normal"/>
        <w:jc w:val="both"/>
        <w:rPr/>
      </w:pPr>
      <w:r>
        <w:rPr>
          <w:rStyle w:val="Style8"/>
          <w:rFonts w:eastAsia="Calibri"/>
          <w:b w:val="false"/>
          <w:bCs/>
          <w:i w:val="false"/>
          <w:color w:val="000000"/>
          <w:sz w:val="24"/>
          <w:szCs w:val="24"/>
          <w:shd w:fill="auto" w:val="clear"/>
          <w:lang w:eastAsia="x-none"/>
        </w:rPr>
        <w:tab/>
        <w:t xml:space="preserve">Договор об осуществлении технологического присоединения к электрическим сетям с максимальной мощностью 8,7 кВт. 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8" w:name="_Toc46743508"/>
      <w:bookmarkStart w:id="9" w:name="_Toc124252891"/>
      <w:r>
        <w:rPr/>
        <w:t>Существующее положение</w:t>
      </w:r>
      <w:bookmarkEnd w:id="8"/>
      <w:bookmarkEnd w:id="9"/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ab/>
        <w:t xml:space="preserve">Место производства работ: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ab/>
        <w:t>Республика Саха (Якутия), Булунский район, п. Тикси.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ab/>
        <w:t>Основание на выполнение работ: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ab/>
        <w:t>Дополнительное соглашение № 1 от 25.12.2025 г. к договору № БЛ/ТП/САМ/26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ab/>
        <w:t>Инвестиционная программа АО «Сахаэнерго».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ind w:firstLine="567"/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</w:r>
    </w:p>
    <w:p>
      <w:pPr>
        <w:pStyle w:val="Heading4"/>
        <w:numPr>
          <w:ilvl w:val="1"/>
          <w:numId w:val="3"/>
        </w:numPr>
        <w:jc w:val="both"/>
        <w:rPr>
          <w:lang w:val="ru-RU"/>
        </w:rPr>
      </w:pPr>
      <w:bookmarkStart w:id="10" w:name="_Toc124252893"/>
      <w:bookmarkStart w:id="11" w:name="_Toc46743509"/>
      <w:bookmarkStart w:id="12" w:name="_Hlk49857604"/>
      <w:r>
        <w:rPr/>
        <w:t xml:space="preserve">Информация в отношении исполнения договора, </w:t>
      </w:r>
      <w:bookmarkStart w:id="13" w:name="_Hlk46492347"/>
      <w:r>
        <w:rPr/>
        <w:t xml:space="preserve">которая должна быть учтена при подготовке заявки </w:t>
      </w:r>
      <w:bookmarkEnd w:id="13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rPr/>
        <w:t xml:space="preserve"> на</w:t>
      </w:r>
      <w:r>
        <w:rPr>
          <w:lang w:val="ru-RU"/>
        </w:rPr>
        <w:t xml:space="preserve"> </w:t>
      </w:r>
      <w:r>
        <w:rPr/>
        <w:t>этапе исполнения договора)</w:t>
      </w:r>
      <w:bookmarkEnd w:id="10"/>
      <w:bookmarkEnd w:id="11"/>
      <w:bookmarkEnd w:id="12"/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firstLine="567"/>
        <w:jc w:val="both"/>
        <w:rPr/>
      </w:pPr>
      <w:r>
        <w:rPr>
          <w:rFonts w:eastAsia="Calibri"/>
          <w:sz w:val="24"/>
          <w:szCs w:val="24"/>
          <w:lang w:eastAsia="x-none"/>
        </w:rPr>
        <w:t>За предоставление Заказчиком ресурсов и услуг (электроснабжение – при необходимости), необходимых для исполнения Подрядчиком обязательств по Договору, Подрядчик компенсирует Заказчику расходы на электроэнергию путем заключения договора на энергоснабжение. Предоставленные Заказчиком ресурсы и услуги используются Подрядчиком в целях исполнения обязательств по Договору.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firstLine="567"/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>В ходе строительства подрядчик должен обеспечить объект резервным источником электроснабжения на весь период строительства, соблюдение мероприятий по охране труда и техники безопасности, пожарной безопасности, установить временное освещение.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Перед началом работ, для получения допуска на объект, Подрядчик обязан предоставить документацию согласно требованиям ИСМ РГ-00-017.03-23 «Регламент допуска подрядных организаций и командированного персонала на объекты АО «Сахаэнерго» (прилагается).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bookmarkStart w:id="14" w:name="_GoBack"/>
      <w:bookmarkStart w:id="15" w:name="_GoBack"/>
      <w:bookmarkEnd w:id="15"/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iCs/>
          <w:caps/>
          <w:lang w:val="ru-RU"/>
        </w:rPr>
      </w:pPr>
      <w:bookmarkStart w:id="16" w:name="_Toc51339693"/>
      <w:bookmarkStart w:id="17" w:name="_Toc124252895"/>
      <w:bookmarkStart w:id="18" w:name="_Toc46743510"/>
      <w:bookmarkStart w:id="19" w:name="_Toc50125126"/>
      <w:bookmarkEnd w:id="18"/>
      <w:bookmarkEnd w:id="19"/>
      <w:r>
        <w:rPr>
          <w:iCs/>
        </w:rPr>
        <w:t>Требования к продукции</w:t>
      </w:r>
      <w:bookmarkEnd w:id="16"/>
      <w:bookmarkEnd w:id="17"/>
    </w:p>
    <w:p>
      <w:pPr>
        <w:pStyle w:val="Heading4"/>
        <w:numPr>
          <w:ilvl w:val="1"/>
          <w:numId w:val="3"/>
        </w:numPr>
        <w:rPr/>
      </w:pPr>
      <w:bookmarkStart w:id="20" w:name="_Toc124252896"/>
      <w:r>
        <w:rPr/>
        <w:t xml:space="preserve">Требования к объемам и срокам </w:t>
      </w:r>
      <w:r>
        <w:rPr>
          <w:lang w:val="ru-RU"/>
        </w:rPr>
        <w:t>выполнения работ</w:t>
      </w:r>
      <w:bookmarkEnd w:id="20"/>
    </w:p>
    <w:p>
      <w:pPr>
        <w:pStyle w:val="Heading3"/>
        <w:numPr>
          <w:ilvl w:val="2"/>
          <w:numId w:val="3"/>
        </w:numPr>
        <w:rPr>
          <w:lang w:val="ru-RU"/>
        </w:rPr>
      </w:pPr>
      <w:bookmarkStart w:id="21" w:name="_Toc124252897"/>
      <w:r>
        <w:rPr>
          <w:lang w:val="ru-RU"/>
        </w:rPr>
        <w:t>Требования к видам и объемам работ</w:t>
      </w:r>
      <w:bookmarkEnd w:id="21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/>
      </w:pPr>
      <w:bookmarkStart w:id="22" w:name="_Toc124252898"/>
      <w:bookmarkStart w:id="23" w:name="_Toc51339695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3"/>
      <w:r>
        <w:rPr>
          <w:sz w:val="24"/>
          <w:szCs w:val="24"/>
          <w:lang w:val="ru-RU"/>
        </w:rPr>
        <w:t>и объем выполняемых работ</w:t>
      </w:r>
      <w:bookmarkEnd w:id="22"/>
    </w:p>
    <w:tbl>
      <w:tblPr>
        <w:tblW w:w="9226" w:type="dxa"/>
        <w:jc w:val="left"/>
        <w:tblInd w:w="-2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VBand="1" w:noHBand="0" w:lastColumn="0" w:firstColumn="1" w:lastRow="0" w:firstRow="1"/>
      </w:tblPr>
      <w:tblGrid>
        <w:gridCol w:w="917"/>
        <w:gridCol w:w="4864"/>
        <w:gridCol w:w="1049"/>
        <w:gridCol w:w="1068"/>
        <w:gridCol w:w="1328"/>
      </w:tblGrid>
      <w:tr>
        <w:trPr>
          <w:trHeight w:val="276" w:hRule="atLeast"/>
        </w:trPr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п/п</w:t>
            </w:r>
          </w:p>
        </w:tc>
        <w:tc>
          <w:tcPr>
            <w:tcW w:w="4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 изм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>
        <w:trPr>
          <w:trHeight w:val="276" w:hRule="atLeast"/>
        </w:trPr>
        <w:tc>
          <w:tcPr>
            <w:tcW w:w="9226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Электромонтажные работы</w:t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Разработка грунта отбойными молотками, группа грунтов 4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Погрузка, перевозка, разгрузка песка.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постели из песка, толщиной до 10 см в два слоя.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Прокладка кабеля в ручную до 1 кВ, масса 1 м кабеля: до 3 кг (Кабель АПвБШп 4*16) в населенной местности.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Переходы через дорогу в стальной трубе диаметром 100мм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5"/>
              <w:widowControl w:val="false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Протяжка кабеля через стальную трубу 100 мм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Прокладка сигнальной ленты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5"/>
              <w:widowControl w:val="false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Защита кабеля от механических воздействий, укладка доски обрезной толщиной 40 мм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ввода в здание в стальной трубе по 2 метра, провод сечением 16 мм2.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концевой муфты для 4-х жильного кабеля напряжением до 1 кВ, сечение жил 16 мм2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Заземление концов кабельной линии до 1 кВ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701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Установка реперов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5"/>
              <w:widowControl w:val="false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Засыпка траншей, пазух котлованов и ям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Style35"/>
              <w:widowControl w:val="fals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lang w:val="ru-RU"/>
        </w:rPr>
      </w:pPr>
      <w:bookmarkStart w:id="24" w:name="_Toc51339696"/>
      <w:r>
        <w:rPr>
          <w:sz w:val="24"/>
          <w:lang w:val="ru-RU"/>
        </w:rPr>
        <w:t xml:space="preserve">2.1.2. Требования </w:t>
      </w:r>
      <w:bookmarkEnd w:id="24"/>
      <w:r>
        <w:rPr>
          <w:sz w:val="24"/>
          <w:lang w:val="ru-RU"/>
        </w:rPr>
        <w:t>к срокам выполнения работ</w:t>
      </w:r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bookmarkStart w:id="25" w:name="_Toc124252900"/>
      <w:bookmarkStart w:id="26" w:name="_Toc50125127"/>
      <w:bookmarkStart w:id="27" w:name="_Toc51339697"/>
      <w:bookmarkStart w:id="28" w:name="_Toc50125126_Копия_1"/>
      <w:bookmarkEnd w:id="28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 xml:space="preserve">. </w:t>
      </w:r>
      <w:bookmarkStart w:id="29" w:name="_Hlk50465284"/>
      <w:r>
        <w:rPr>
          <w:sz w:val="24"/>
          <w:szCs w:val="24"/>
        </w:rPr>
        <w:t xml:space="preserve">Требования по срокам </w:t>
      </w:r>
      <w:bookmarkEnd w:id="26"/>
      <w:bookmarkEnd w:id="27"/>
      <w:bookmarkEnd w:id="29"/>
      <w:r>
        <w:rPr>
          <w:sz w:val="24"/>
          <w:szCs w:val="24"/>
          <w:lang w:val="ru-RU"/>
        </w:rPr>
        <w:t>выполнения работ</w:t>
      </w:r>
      <w:bookmarkEnd w:id="25"/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24"/>
        <w:gridCol w:w="6222"/>
        <w:gridCol w:w="1432"/>
        <w:gridCol w:w="1642"/>
      </w:tblGrid>
      <w:tr>
        <w:trPr>
          <w:trHeight w:val="472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bookmarkStart w:id="30" w:name="_Toc46743510_Копия_1"/>
            <w:bookmarkEnd w:id="30"/>
            <w:r>
              <w:rPr>
                <w:sz w:val="24"/>
                <w:szCs w:val="24"/>
              </w:rPr>
              <w:t>№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</w:t>
            </w:r>
          </w:p>
        </w:tc>
      </w:tr>
      <w:tr>
        <w:trPr>
          <w:trHeight w:val="77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ind w:firstLine="567"/>
              <w:jc w:val="both"/>
              <w:rPr/>
            </w:pPr>
            <w:r>
              <w:rPr>
                <w:rStyle w:val="Style8"/>
                <w:rFonts w:eastAsia="Calibri"/>
                <w:b w:val="false"/>
                <w:bCs/>
                <w:i w:val="false"/>
                <w:sz w:val="24"/>
                <w:szCs w:val="24"/>
                <w:shd w:fill="auto" w:val="clear"/>
                <w:lang w:eastAsia="x-none"/>
              </w:rPr>
              <w:t>ОКПД 2 - 42.22.22.110 Выполнение строительно-монтажных работ по строительству распределительных сетей для технологического присоединения объекта: гараж ГБПОУ РС (Я) «ЦПРКА», расположенного в Республике Саха (Якутия), Булунский район, п. Тикси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hd w:val="clear" w:color="auto" w:fill="FFFFFF"/>
              <w:tabs>
                <w:tab w:val="clear" w:pos="708"/>
                <w:tab w:val="left" w:pos="1418" w:leader="none"/>
              </w:tabs>
              <w:ind w:left="0" w:hanging="0"/>
              <w:jc w:val="center"/>
              <w:rPr/>
            </w:pPr>
            <w:r>
              <w:rPr/>
              <w:t>С даты, следующей за датой заключения Договора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07.10.2026 г.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31" w:name="_Toc50125131"/>
      <w:bookmarkStart w:id="32" w:name="_Toc51339698"/>
      <w:bookmarkStart w:id="33" w:name="_Toc124252901"/>
      <w:r>
        <w:rPr/>
        <w:t xml:space="preserve">Требования к </w:t>
      </w:r>
      <w:r>
        <w:rPr>
          <w:lang w:val="ru-RU"/>
        </w:rPr>
        <w:t>качеству работ</w:t>
      </w:r>
      <w:bookmarkEnd w:id="33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rStyle w:val="Style8"/>
          <w:b/>
          <w:iCs/>
          <w:sz w:val="24"/>
          <w:szCs w:val="24"/>
          <w:lang w:val="ru-RU"/>
        </w:rPr>
      </w:pPr>
      <w:bookmarkStart w:id="34" w:name="_Toc124252902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Требования к </w:t>
      </w:r>
      <w:bookmarkEnd w:id="31"/>
      <w:bookmarkEnd w:id="32"/>
      <w:r>
        <w:rPr>
          <w:sz w:val="24"/>
          <w:szCs w:val="24"/>
          <w:lang w:val="ru-RU"/>
        </w:rPr>
        <w:t>качеству работ</w:t>
      </w:r>
      <w:bookmarkEnd w:id="34"/>
      <w:r>
        <w:rPr>
          <w:sz w:val="24"/>
          <w:szCs w:val="24"/>
          <w:lang w:val="ru-RU"/>
        </w:rPr>
        <w:t>, указанных в ведомости объемов работ ( Таблица 1).</w:t>
      </w:r>
    </w:p>
    <w:tbl>
      <w:tblPr>
        <w:tblStyle w:val="affff8"/>
        <w:tblW w:w="1502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50"/>
        <w:gridCol w:w="1699"/>
        <w:gridCol w:w="4122"/>
        <w:gridCol w:w="2744"/>
        <w:gridCol w:w="2948"/>
        <w:gridCol w:w="2662"/>
      </w:tblGrid>
      <w:tr>
        <w:trPr/>
        <w:tc>
          <w:tcPr>
            <w:tcW w:w="85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69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412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569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66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5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69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12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7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9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66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6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12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7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9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66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Работы должны выполняться в соответствии со следующей документацией и нормативными документами: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Ведомость объемов работ;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Постановление Правительства Российской Федерации от 21 июня 2010 г. N 468 "О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Технический регламент о безопасности зданий и сооружений (с изменениями на 2 июля 2013 года), Федеральный закон от 30.12.2009 N 384-ФЗ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Федеральный закон от 21.12.1994 N 69-ФЗ "О пожарной безопасности"; Федеральный закон от 22.07.2008 N 123-ФЗ "Технический регламент о требованиях пожарной безопасности";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Правила противопожарного режима В РФ, утв. Постановлением Правительства РФ от 16 сентября 2020 года N 1479.;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Федеральный закон от 21.07.1997 N 116-ФЗ "О промышленной безопасности опасных производственных объектов";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45.13330.2017 «Земляные сооружения, основания и фундаменты»;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48.13330.2019 «Организация строительства. Актуализированная редакция СНиП 12-01-2004»;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71.13330.2017. Свод правил. Изоляционные и отделочные покрытия. Актуализированная редакция СНиП 3.04.01-87 (утв. Приказом Минстроя России от 27.02.2017 № 128/пр);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76.13330.2016. Свод правил. Электротехнические устройства. Актуализированная редакция СНиП 3.05.06-85" (утв. Приказом Минстроя России от 16.12.2016 N 955/пр);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60.13330.2012. Свод правил. Отопление, вентиляция и кондиционирование воздуха. Актуализированная редакция СНиП 41-01-2003" (утв. Приказом Минрегиона России от 30.06.2012 N 279);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72.13330.2016. Свод правил. Защита строительных конструкций и сооружений от коррозии. СНиП 3.04.03-85" (утв. и введен в действие Приказом Минстроя России от 16.12.2016 N 965/пр);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70.13330.2012 «Несущие и ограждающие конструкции»;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49.13330.2010 (СНиП 12-03-2001) «Безопасность труда в строительстве» ч.1;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СНиП 12-04-2002 «Безопасность труда в строительстве» ч.2;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126.13330.2017 «Геодезические работы в строительстве. Актуализированная редакция СНиП 3.01.03-84»;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116.13330.2012 «Инженерная защита территорий, зданий и сооружений от опасных геологических процессов»;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28.13330.2017 «Защита строительных конструкций от коррозии»;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68.13330.2017 «Приемка в эксплуатацию законченных строительством объектов»;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14.13330.2018 «Строительство в сейсмических районах»;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ПУЭ «Правила устройства электроустановок»;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«Инструкция по оформлению приемо-сдаточной документации по электромонтажным работам» И 1.13-07;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РД 34.03.204 «Правила безопасности при работе с инструментом и приспособлениями»;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РД 10-107-96 «Типовая инструкция для стропальщиков по безопасному производству работ грузоподъемными машинами»;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РД 10-34-93 «Типовая инструкция для лиц ответственных за безопасное производство работ кранами (с изменением №1);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ВСН 506-88 «Проектирование и устройство грунтовых анкеров»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МДС 12-81.2007 «Методические рекомендации по разработке и оформлению проекта организации строительства и проекта производства работ»;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СО 153-34.03.305-2003 «Инструкция о мерах пожарной безопасности при проведении огневых работ на энергетических предприятиях»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Правила охраны труда при строительстве, реконструкции и ремонте, утвержденные приказом Минтруда РФ от 11.12.2020 г. №883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Приказ Минтруда России от 16.11.2020 г. №782» Об утверждении Правил по охране труда при работе на высоте».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Приказ Минтруда РФ от 24.07.3013г. №328н «Правила по охране труда при эксплуатации электроустановок»;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Приказ Ростехнадзора РФ от 26.11.2020 г. №461 Правила безопасности «опасных производственных объектов, на которых используются подъемные сооружения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Приказ Минтруда РФ от 17.09.2014 № 642н «Об утверждении Правил по охране труда при погрузочно-разгрузочных работах и размещении грузов»;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Проект производства работ (ППР), заводскими инструкциями и руководством по использованию применяемых материалов.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СДОС-03-2009 «Положение по проведению строительного контроля при строительстве, реконструкции, капитального строительства».</w:t>
            </w:r>
          </w:p>
        </w:tc>
        <w:tc>
          <w:tcPr>
            <w:tcW w:w="27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  <w:shd w:color="auto" w:fill="auto" w:val="clear"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ППР на выполнение Работ должен разработать Подрядчик в соответствии с МДС 12-81.2007 «Методические рекомендации по разработке и оформлению проекта организации строительства и проекта производства работ», МДС 12-29.2006 «Методические рекомендации по разработке и оформлению технологической карты» и должен включать: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календарный план производства работ по виду работ (устанавливается последовательность выполнения работ, а также указание производства совмещенных работ);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технологические карты (схемы) (с использованием соответствующей типовой документации) на выполнение отдельных видов Работ, результатом которых являются законченные конструктивные элементы, а также схемы организации рабочих мест с указанием: требований по подготовке места работы и выполнению предшествующих Работ, обеспечивающих необходимый фронт и безопасные условия выполнения Работ: методов и последовательности производства работ, определением необходимых средств механизации и технологической оснастки, определением способов подачи и мест хранения материалов, конструкций и изделий;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решения по охране труда при выполнении работ в условиях действия опасных производственных факторов;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пояснительную записку, содержащую необходимые обоснования и расчеты для выполнения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перечень необходимой исполнительной документации, указанной в МДС 12-81.2007 «Методические рекомендации по разработке и оформлению проекта организации строительства и проекта производства работ»;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перечень и сроки необходимых лабораторных испытаний материалов, конструктивных элементов, температурно-влажностных режимов;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требования по охране окружающей среды.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Разработка и согласование с Заказчиком ППР должна быть произведена не менее чем за 10 (десять) рабочих дней до момента начала производства работ.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При выполнении работ должна применяться продукция, оборудование, материалы и вещества, соответствие которых нормативным требованиям подтверждено декларацией о соответствии или сертификатом соответствия. Обязательно осуществление входного контроля Подрядчиком, применяемых материалов с оформлением соответствующих актов и внесением записей в журнал входного контроля.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При осуществлении входного контроля Подрядчику необходимо проводить испытания материалов конструкций и изделий силами специализированных, лицензированных лабораторий, в случае выявления при входном контроле продукции, не соответствующей установленным требованиям, ее применение для строительства не допускается;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Испытания в рамках входного контроля, которые Подрядчик не может осуществить собственными силами, он должен производить с привлечением, по договору подряда, аккредитованной лаборатории.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Входной контроль проводить в соответствии с Постановлением Правительства Российской Федерации от 21 июня 2010 г. N 468 "О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Хранение материалов производить в соответствии с ВСН 212-85.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Подрядчик обязан производить строительный контроль в ходе производства работ, в том числе: контроль над соответствием применяемых строительных материалов и конструкций требованиям технических регламентов, соблюдением норм и правил складирования и хранения применяемой продукции, соблюдением последовательности и состава технологических операций при осуществлении строительства.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Осуществление строительного контроля подрядчиком в соответствии с Постановлением Правительства Российской Федерации № 468 от 21.06.2010 г. с ведением журналов работ и оформлением актов согласно РД-11-02-2006 и РД-11-05-2007.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Наличие аккредитованной лаборатории по оценке качества работ и материалов или договора со специализированной организацией на выполнение работ по оценке качества такой продукции.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Подрядчик гарантирует высокое качество и надежную последующую эксплуатацию объекта капитального строительства в соответствии с положениями технических регламентов, действующих на территории Российской Федерации.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На Подрядчика возлагается контроль: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за соответствием выполнения строительных и монтажных работ проекту и техническим регламентам в порядке, установленном схемами операционного контроля;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проверка соответствия стандартам, техническим условиям, паспортам и сертификатам поступающих на объект материалов, конструкций и изделий;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контроль за дозировкой составляющих и приготовлением бетонов, растворов, мастик и др. материалов;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определение набора прочности бетона, контроль испытания сварных соединений.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Материалы и оборудование применяются в соответствии с ТТ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(Приложение №1 к Техническим требованиям)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Материалы и оборудование должны быть новыми и ранее не использованными.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В части оборудования и материалов, указанных в ТТ с конкретной торговой маркой, допускается аналог с теми же или лучшими характеристиками.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Применяемые при монтаже оборудования под давлением, материалы и полуфабрикаты должны обеспечивать безопасные эксплуатационные параметры, определяемые их механическими свойствами, химическим составом, технологией изготовления, методами и объемами испытаний и контроля качества, гарантированным уровнем расчетных и технологических характеристик, и должны соответствовать требованиям технической документации изготовителя.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Обязательное предоставление паспортов и сертификатов на поставляемые материалы и оборудование.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Все замечания, указания, предписания надзорных органов, предъявленные Заказчику по качеству выполненных Подрядчиком работ, устраняются Подрядчиком в указанные сроки за счет собственных средств.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Своевременно оповещать представителей Заказчика и авторского надзора о проведении освидетельствования скрытых работ и ответственных конструкций.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bCs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подрядчика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41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ind w:firstLine="26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До начала проведения работ в рамках исполнения договора после его заключения подрядчик предоставляет 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электро- и пневмоинструментом) (возможно совмещение специальностей), в соответствии с требованиями 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ИСМ РГ-00-017.03-23 «Регламент допуска подрядных организаций и командированного персонала на объекты АО «Сахаэнерго»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(прилагается к настоящим Техническим требованиям – приложение №3).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безопасности выполняемых работ</w:t>
            </w:r>
          </w:p>
        </w:tc>
        <w:tc>
          <w:tcPr>
            <w:tcW w:w="4122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Подрядчик должен: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соблюдать требования действующего федерального законодательства Российской Федерации, нормативных правовых актов субъектов Российской Федерации,  в т.ч.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Подрядчик обязан: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соблюдать установленный противопожарный и внутриобъектовый режимы на предприятии Заказчика, требования режимов являются обязательными для персонала Подрядчика и должны строго выполняться.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При производстве работ Подрядчик руководствуется действующими нормативными документами в области охраны труда и промышленной безопасности, указанных п.1.1.1 Технических требований.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Работы производить в соответствии с согласованным Заказчиком ППР.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При выполнении работ Подрядчику необходимо: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выполнить монтаж ограждений, переходов, лестниц и т.д., для безопасного доступа персонала Подрядчика и представителей Заказчика, надзорных органов и авторского надзора на строящиеся объекты;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исключить падение монтируемых конструкций, оборудования;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обеспечить безопасность, персонала Заказчика, персонала подрядных организаций, находящегося в зоне выполнения работ в период производства работ;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нести ответственность за сохранность оборудования, механизмов, средств, систем, конструкций, сооружений и транспортных приспособлений Заказчика и подрядных организаций, находящихся в зоне выполнения работ в период производства работ.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266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работ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Работы выполняются в таком объеме, который позволяет начать эксплуатацию результатов работ без закупки дополнительных объемов работ.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Работы по договору считаются выполненными с момента сдачи объектов в эксплуатацию приемочной комиссии по Акту приемки законченного строительством объекта (КС-11).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Style w:val="Style8"/>
                <w:i w:val="false"/>
                <w:i w:val="false"/>
                <w:sz w:val="24"/>
                <w:szCs w:val="24"/>
                <w:shd w:fill="auto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left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  <w:tc>
          <w:tcPr>
            <w:tcW w:w="16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СМР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highlight w:val="yellow"/>
              </w:rPr>
            </w:r>
          </w:p>
        </w:tc>
        <w:tc>
          <w:tcPr>
            <w:tcW w:w="412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КЛ-0,4 кВ — 100 м</w:t>
            </w:r>
          </w:p>
        </w:tc>
        <w:tc>
          <w:tcPr>
            <w:tcW w:w="274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  <w:vAlign w:val="center"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bCs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Документы, передаваемые заказчику по результатам выполненных работ</w:t>
            </w:r>
          </w:p>
        </w:tc>
        <w:tc>
          <w:tcPr>
            <w:tcW w:w="412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Подрядчик обязан предоставить документацию, соответствующую требованиям «Порядка сдачи-приемки работ» (Раздел 4 Договора), в том числе одновременно с передачей актов приемки выполненных работ по форме КС-2 передать заказчику Отчет о выполненных работах, включая: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сертификаты (паспорта), подтверждающие качество и соответствие требованиям конструкторской и нормативно-технической документации материалов (форма завода-изготовителя).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Документация выполняется и сдается Подрядчиком в соответствии с требованиями указанными в РД, СП, СТО РГ, указанных в п. 1.1.1 настоящей таблицы.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Выполнение отдельных видов работ, предусматривающих скрытые работы, должно подтверждаться Актами скрытых работ, подписанными техническим куратором и представителем авторского надзора. Сдача ответственных конструкций должна подтверждаться Актами освидетельствования ответственных конструкций. В ходе окончательной приемки работ должны быть предъявлены следующие документы: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паспорта и сертификаты на примененные материалы и оборудование;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данные о результатах лабораторных испытаний;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журнал производства работ, журналы специальных работ;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исполнительные чертежи, схемы;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акты, составленные по результатам контрольных мероприятий, проводимых совместно подрядчиком и заказчиком;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акты промежуточной приемки выполненных работ. Кроме того Подрядчик должен предоставить Заказчику всю техническую документацию на предоставляемое оборудование, изделия (акты, протоколы, сертификаты и пр.) в соответствии с действующими стандартами, действующими СП, СНиП. Работы должны проводиться в соответствии с действующими СНиП, РД, ПУЭ, ПТЭ, МПОТ, требованиями пожарной безопасности (см. п. 1.1.1 настоящей таблицы).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b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Комплект исполнительной документации предоставляется Заказчику на русском языке, на бумажном носителе в виде альбома форматов А1, А2, A3, А4 в 1 (одном) экземпляре.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Подрядчик обязан еженедельно (не позднее пятницы) предоставлять информацию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(отчет) о ходе выполнения работ, в письменном виде, с приложением фотографий. В предоставляемой информации указываются фактические сроки выполнения работ, на основе утвержденного календарного графика (входящего в состав ППР), также указывается процент выполнения.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Документы, передаваемые заказчику о ходе выполнения работ</w:t>
            </w:r>
          </w:p>
        </w:tc>
        <w:tc>
          <w:tcPr>
            <w:tcW w:w="412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Подрядчик обязан еженедельно (не позднее пятницы) предоставлять  информацию (отчет) о ходе выполнения работ, в письменном виде, с приложением фотографий. В предоставляемой информации указываются фактические сроки выполнения работ, на основе утвержденного календарного графика (входящего в состав ППР), также указывается процент выполнения.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ind w:firstLine="428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Смотреть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п. 1.1.1 настоящей таблицы.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48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подрядчика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4.1.1.</w:t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Гарантийный срок на результат работ</w:t>
            </w:r>
          </w:p>
        </w:tc>
        <w:tc>
          <w:tcPr>
            <w:tcW w:w="41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Гарантийный срок по Договору составляет 36 (тридцать шесть) месяцев и начинает действовать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Договора.</w:t>
            </w:r>
          </w:p>
        </w:tc>
        <w:tc>
          <w:tcPr>
            <w:tcW w:w="2744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bookmarkStart w:id="35" w:name="_Toc124252903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  <w:bookmarkEnd w:id="35"/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6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4.1.2.</w:t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Ответственность Подрядчика</w:t>
            </w:r>
          </w:p>
        </w:tc>
        <w:tc>
          <w:tcPr>
            <w:tcW w:w="41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Подрядчика смотреть в Разделе 7 Договора.</w:t>
            </w:r>
          </w:p>
        </w:tc>
        <w:tc>
          <w:tcPr>
            <w:tcW w:w="2744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bookmarkStart w:id="36" w:name="_Toc124252904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  <w:bookmarkEnd w:id="36"/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6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41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работ, с учетом требований п.2.4.3 Договора.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требования к выполняемым работам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Style28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firstLine="414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bookmarkStart w:id="37" w:name="_Toc124252905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При выполнении Работ на территории и объекте Заказчика, подрядная организация организует санитарно-бытовое обслуживание собственного персонала в местах отсутствия действующих туалетов и умывальников в шаговой доступности (более 75 метров) до полного окончания работ. Санитарно-бытовое обслуживание включает в себя:</w:t>
            </w:r>
            <w:bookmarkEnd w:id="37"/>
          </w:p>
          <w:p>
            <w:pPr>
              <w:pStyle w:val="Style28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firstLine="414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bookmarkStart w:id="38" w:name="_Toc124252906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- установку, обслуживание и очистку биотуалетов с возможностью эксплуатации его в зимний период года;</w:t>
            </w:r>
            <w:bookmarkEnd w:id="38"/>
          </w:p>
          <w:p>
            <w:pPr>
              <w:pStyle w:val="Style28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firstLine="414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bookmarkStart w:id="39" w:name="_Toc124252907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- установку и бесперебойную работу умывальников;</w:t>
            </w:r>
            <w:bookmarkEnd w:id="39"/>
          </w:p>
          <w:p>
            <w:pPr>
              <w:pStyle w:val="Style28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firstLine="414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bookmarkStart w:id="40" w:name="_Toc124252908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- вывоз и утилизацию (обезвреживание) отходов, образующихся при эксплуатации биотуалетов и умывальников;</w:t>
            </w:r>
            <w:bookmarkEnd w:id="40"/>
          </w:p>
          <w:p>
            <w:pPr>
              <w:pStyle w:val="Style28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firstLine="414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bookmarkStart w:id="41" w:name="_Toc124252909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- установку и бесперебойную работу кулеров с питьевой водой;</w:t>
            </w:r>
            <w:bookmarkEnd w:id="41"/>
          </w:p>
          <w:p>
            <w:pPr>
              <w:pStyle w:val="Style28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firstLine="414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bookmarkStart w:id="42" w:name="_Toc124252910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- размещения разовых бумажных полотенец и жидкого мыла в местах установки умывальников.</w:t>
            </w:r>
            <w:bookmarkEnd w:id="42"/>
          </w:p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firstLine="414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bookmarkStart w:id="43" w:name="_Toc124252911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- сброс и\или размещение сточных вод образованных от эксплуатации биотуалетов и умывальников, в водные объекты и на территории Филиала категорически запрещён.</w:t>
            </w:r>
            <w:bookmarkEnd w:id="43"/>
          </w:p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firstLine="414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bookmarkStart w:id="44" w:name="_Toc124252912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При выполнении работ необходимо соблюдать требования законодательства в области охраны окружающей среды. Отходы, образующиеся в ходе производства работ, Подрядчик сортирует по классу опасности и вывозит на соответствующий полигон.</w:t>
            </w:r>
            <w:bookmarkEnd w:id="44"/>
          </w:p>
        </w:tc>
        <w:tc>
          <w:tcPr>
            <w:tcW w:w="2744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bookmarkStart w:id="45" w:name="_Toc124252913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  <w:bookmarkEnd w:id="45"/>
          </w:p>
        </w:tc>
        <w:tc>
          <w:tcPr>
            <w:tcW w:w="2948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ListParagraph"/>
        <w:keepNext w:val="true"/>
        <w:numPr>
          <w:ilvl w:val="0"/>
          <w:numId w:val="3"/>
        </w:numPr>
        <w:spacing w:lineRule="auto" w:line="276"/>
        <w:ind w:left="567" w:hanging="567"/>
        <w:rPr/>
      </w:pPr>
      <w:r>
        <w:rPr>
          <w:b/>
          <w:bCs/>
          <w:sz w:val="28"/>
          <w:szCs w:val="28"/>
        </w:rPr>
        <w:t>Специальные требования</w:t>
      </w:r>
    </w:p>
    <w:p>
      <w:pPr>
        <w:pStyle w:val="ListParagraph"/>
        <w:spacing w:lineRule="auto" w:line="276"/>
        <w:ind w:left="567" w:hanging="0"/>
        <w:rPr/>
      </w:pPr>
      <w:r>
        <w:rPr>
          <w:b/>
          <w:bCs/>
          <w:sz w:val="26"/>
          <w:szCs w:val="26"/>
        </w:rPr>
        <w:t>Таблица 4. Перечень специальных требований</w:t>
      </w:r>
    </w:p>
    <w:p>
      <w:pPr>
        <w:pStyle w:val="ListParagraph"/>
        <w:spacing w:lineRule="auto" w:line="276"/>
        <w:ind w:left="567" w:hanging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tbl>
      <w:tblPr>
        <w:tblW w:w="1405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32"/>
        <w:gridCol w:w="5983"/>
        <w:gridCol w:w="7343"/>
      </w:tblGrid>
      <w:tr>
        <w:trPr>
          <w:trHeight w:val="20" w:hRule="atLeast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76"/>
              <w:jc w:val="center"/>
              <w:rPr/>
            </w:pPr>
            <w:r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/>
            </w:pPr>
            <w:r>
              <w:rPr>
                <w:b/>
                <w:bCs/>
                <w:color w:val="000000"/>
                <w:sz w:val="22"/>
                <w:szCs w:val="22"/>
              </w:rPr>
              <w:t>п//п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Участникам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ind w:right="113" w:hanging="0"/>
              <w:jc w:val="center"/>
              <w:rPr/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>
        <w:trPr>
          <w:trHeight w:val="20" w:hRule="atLeast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276"/>
              <w:ind w:left="0" w:hanging="0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283" w:hanging="0"/>
              <w:jc w:val="center"/>
              <w:rPr/>
            </w:pPr>
            <w:r>
              <w:rPr>
                <w:sz w:val="24"/>
                <w:szCs w:val="24"/>
              </w:rPr>
              <w:t>Требование не установлено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283" w:hanging="0"/>
              <w:jc w:val="center"/>
              <w:rPr/>
            </w:pPr>
            <w:r>
              <w:rPr>
                <w:sz w:val="24"/>
                <w:szCs w:val="24"/>
              </w:rPr>
              <w:t>Требование не установлено</w:t>
            </w:r>
          </w:p>
        </w:tc>
      </w:tr>
    </w:tbl>
    <w:p>
      <w:pPr>
        <w:pStyle w:val="ListParagraph"/>
        <w:spacing w:before="60" w:after="240"/>
        <w:ind w:left="0" w:hang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istParagraph"/>
        <w:spacing w:before="60" w:after="240"/>
        <w:ind w:left="0" w:hanging="0"/>
        <w:rPr/>
      </w:pP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>Квалификационные требования</w:t>
      </w:r>
    </w:p>
    <w:p>
      <w:pPr>
        <w:pStyle w:val="ListParagraph"/>
        <w:spacing w:before="60" w:after="240"/>
        <w:ind w:left="0" w:hanging="0"/>
        <w:rPr/>
      </w:pP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Таблица 5. Перечень квалификационных требований</w:t>
      </w:r>
    </w:p>
    <w:tbl>
      <w:tblPr>
        <w:tblW w:w="14033" w:type="dxa"/>
        <w:jc w:val="left"/>
        <w:tblInd w:w="5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8"/>
        <w:gridCol w:w="5953"/>
        <w:gridCol w:w="7372"/>
      </w:tblGrid>
      <w:tr>
        <w:trPr>
          <w:trHeight w:val="77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contextualSpacing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spacing w:before="60" w:after="60"/>
              <w:contextualSpacing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п//п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Участникам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ind w:righ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283" w:hanging="0"/>
              <w:jc w:val="center"/>
              <w:rPr/>
            </w:pPr>
            <w:r>
              <w:rPr>
                <w:sz w:val="24"/>
                <w:szCs w:val="24"/>
              </w:rPr>
              <w:t>Требование не установлено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283" w:hanging="0"/>
              <w:jc w:val="center"/>
              <w:rPr/>
            </w:pPr>
            <w:r>
              <w:rPr>
                <w:rFonts w:eastAsia="Calibri"/>
                <w:iCs/>
                <w:sz w:val="24"/>
                <w:szCs w:val="24"/>
              </w:rPr>
              <w:t>Требование не установлено</w:t>
            </w:r>
          </w:p>
        </w:tc>
      </w:tr>
    </w:tbl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Heading1"/>
        <w:keepLines/>
        <w:numPr>
          <w:ilvl w:val="0"/>
          <w:numId w:val="9"/>
        </w:numPr>
        <w:ind w:left="0" w:hanging="0"/>
        <w:jc w:val="center"/>
        <w:rPr/>
      </w:pPr>
      <w:r>
        <w:rPr>
          <w:iCs/>
        </w:rPr>
        <w:t>Требования к Участникам закупочных процедур в части ценообразования</w:t>
      </w:r>
    </w:p>
    <w:p>
      <w:pPr>
        <w:pStyle w:val="Normal"/>
        <w:snapToGrid w:val="false"/>
        <w:spacing w:before="0" w:after="0"/>
        <w:ind w:left="5038" w:hanging="0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документации по ценообразованию на этапе закупки.</w:t>
      </w:r>
    </w:p>
    <w:p>
      <w:pPr>
        <w:pStyle w:val="BodyText"/>
        <w:jc w:val="both"/>
        <w:rPr/>
      </w:pPr>
      <w:r>
        <w:rPr>
          <w:sz w:val="24"/>
          <w:szCs w:val="24"/>
        </w:rPr>
        <w:t xml:space="preserve">4.1.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 </w:t>
      </w:r>
    </w:p>
    <w:p>
      <w:pPr>
        <w:pStyle w:val="BodyText"/>
        <w:jc w:val="both"/>
        <w:rPr/>
      </w:pPr>
      <w:r>
        <w:rPr>
          <w:color w:val="000000"/>
          <w:sz w:val="24"/>
          <w:szCs w:val="24"/>
        </w:rPr>
        <w:t xml:space="preserve">4.2. Дополнительные документы по ценообразованию в состав заявки Участника не включаются.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both"/>
        <w:rPr/>
      </w:pPr>
      <w:bookmarkStart w:id="46" w:name="_Toc54646412_Копия_2"/>
      <w:r>
        <w:rPr>
          <w:b/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46"/>
      <w:r>
        <w:rPr>
          <w:b/>
          <w:sz w:val="24"/>
          <w:szCs w:val="24"/>
        </w:rPr>
        <w:t>.</w:t>
      </w:r>
    </w:p>
    <w:p>
      <w:pPr>
        <w:pStyle w:val="BodyText"/>
        <w:rPr>
          <w:sz w:val="24"/>
        </w:rPr>
      </w:pPr>
      <w:r>
        <w:rPr>
          <w:sz w:val="24"/>
        </w:rPr>
        <w:t>4.3. Сметная документация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сметы, но перед начислением НДС).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>
        <w:rPr>
          <w:bCs/>
          <w:iCs/>
          <w:color w:val="000000"/>
          <w:sz w:val="24"/>
          <w:szCs w:val="24"/>
        </w:rPr>
        <w:t>Внесение изменений в сметную документацию Заказчика, кроме применения понижающего коэффициента в соответствии с п.4.1.1, не допускается.</w:t>
      </w:r>
    </w:p>
    <w:p>
      <w:pPr>
        <w:pStyle w:val="Normal"/>
        <w:numPr>
          <w:ilvl w:val="0"/>
          <w:numId w:val="0"/>
        </w:numPr>
        <w:spacing w:lineRule="auto" w:line="276"/>
        <w:ind w:left="0" w:hanging="0"/>
        <w:jc w:val="both"/>
        <w:rPr/>
      </w:pPr>
      <w:r>
        <w:rPr>
          <w:bCs/>
          <w:iCs/>
          <w:sz w:val="24"/>
          <w:szCs w:val="24"/>
        </w:rPr>
        <w:t xml:space="preserve">4.5. </w:t>
      </w:r>
      <w:r>
        <w:rPr>
          <w:sz w:val="24"/>
          <w:szCs w:val="24"/>
        </w:rPr>
        <w:t>Учтенные в договорной смете понижающие коэффициенты обязательны к применению как в актах выполненных работ на стадии расчетов, так и в дополнительных сметах в случае их составления на стадии выполнения Договора подряда.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4.6. Затраты на перебазировку техники, командировочные расходы при их наличии в договорной смете принимаются по подтверждающим документам, но не более суммы, предусмотренной сметным расчетом к договору.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4.7. Акт выполненных работ (КС-2) составляется подрядной организацией на основании договорной сметы.</w:t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iCs/>
          <w:caps/>
        </w:rPr>
      </w:pPr>
      <w:bookmarkStart w:id="47" w:name="_Toc124252916_Копия_1"/>
      <w:bookmarkStart w:id="48" w:name="_Toc46743519_Копия_1"/>
      <w:bookmarkStart w:id="49" w:name="_Toc51339699_Копия_1"/>
      <w:r>
        <w:rPr>
          <w:iCs/>
        </w:rPr>
        <w:t>Приложения</w:t>
      </w:r>
      <w:bookmarkEnd w:id="47"/>
      <w:bookmarkEnd w:id="48"/>
      <w:bookmarkEnd w:id="49"/>
    </w:p>
    <w:p>
      <w:pPr>
        <w:pStyle w:val="Normal"/>
        <w:spacing w:before="0" w:after="120"/>
        <w:ind w:left="5038" w:hanging="0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№1:  Локальный сметный расчет </w:t>
      </w:r>
    </w:p>
    <w:p>
      <w:pPr>
        <w:pStyle w:val="Normal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№2: ИСМ РГ-00-017.03-23 «Регламент допуска подрядных организаций и командированного персонала на объекты АО «Сахаэнерго».</w:t>
      </w:r>
    </w:p>
    <w:p>
      <w:pPr>
        <w:pStyle w:val="Normal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№3: Письмо-согласие со сметной документацией Заказчика</w:t>
      </w:r>
    </w:p>
    <w:p>
      <w:pPr>
        <w:pStyle w:val="Normal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spacing w:before="0" w:after="120"/>
        <w:ind w:left="5038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keepLines/>
        <w:numPr>
          <w:ilvl w:val="0"/>
          <w:numId w:val="0"/>
        </w:numPr>
        <w:spacing w:before="120" w:after="60"/>
        <w:ind w:left="0" w:hanging="0"/>
        <w:jc w:val="center"/>
        <w:rPr/>
      </w:pPr>
      <w:r>
        <w:rPr/>
      </w:r>
    </w:p>
    <w:sectPr>
      <w:headerReference w:type="default" r:id="rId7"/>
      <w:headerReference w:type="first" r:id="rId8"/>
      <w:type w:val="nextPage"/>
      <w:pgSz w:orient="landscape" w:w="16838" w:h="11906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19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22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3"/>
    <w:lvlOverride w:ilvl="0">
      <w:startOverride w:val="4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uiPriority w:val="9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numPr>
        <w:ilvl w:val="0"/>
        <w:numId w:val="0"/>
      </w:numPr>
      <w:tabs>
        <w:tab w:val="clear" w:pos="708"/>
        <w:tab w:val="left" w:pos="0" w:leader="none"/>
      </w:tabs>
      <w:ind w:left="432" w:hanging="432"/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uiPriority w:val="9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2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0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Style14" w:customStyle="1">
    <w:name w:val="Текст выноски Знак"/>
    <w:link w:val="BalloonText"/>
    <w:uiPriority w:val="99"/>
    <w:semiHidden/>
    <w:qFormat/>
    <w:rsid w:val="00531f1a"/>
    <w:rPr>
      <w:rFonts w:ascii="Tahoma" w:hAnsi="Tahoma" w:cs="Tahoma"/>
      <w:sz w:val="16"/>
      <w:szCs w:val="16"/>
    </w:rPr>
  </w:style>
  <w:style w:type="character" w:styleId="Style15" w:customStyle="1">
    <w:name w:val="Ссылка указателя"/>
    <w:qFormat/>
    <w:rPr/>
  </w:style>
  <w:style w:type="paragraph" w:styleId="Style16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">
    <w:name w:val="index heading1"/>
    <w:basedOn w:val="Style16"/>
    <w:qFormat/>
    <w:pPr/>
    <w:rPr/>
  </w:style>
  <w:style w:type="paragraph" w:styleId="Style18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9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0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2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a945ef"/>
    <w:pPr>
      <w:tabs>
        <w:tab w:val="clear" w:pos="708"/>
        <w:tab w:val="left" w:pos="1120" w:leader="none"/>
        <w:tab w:val="right" w:pos="9911" w:leader="dot"/>
      </w:tabs>
      <w:ind w:left="567" w:hanging="0"/>
    </w:pPr>
    <w:rPr>
      <w:rFonts w:cs="Calibri" w:cstheme="minorHAnsi"/>
      <w:sz w:val="20"/>
      <w:szCs w:val="20"/>
    </w:rPr>
  </w:style>
  <w:style w:type="paragraph" w:styleId="Style23" w:customStyle="1">
    <w:name w:val="Раздел регламента"/>
    <w:basedOn w:val="Normal"/>
    <w:qFormat/>
    <w:rsid w:val="00e228fa"/>
    <w:pPr/>
    <w:rPr/>
  </w:style>
  <w:style w:type="paragraph" w:styleId="Style24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link w:val="Style14"/>
    <w:uiPriority w:val="99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a945ef"/>
    <w:pPr>
      <w:tabs>
        <w:tab w:val="clear" w:pos="708"/>
        <w:tab w:val="left" w:pos="1120" w:leader="none"/>
        <w:tab w:val="right" w:pos="9911" w:leader="dot"/>
      </w:tabs>
      <w:ind w:left="567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5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qFormat/>
    <w:pPr>
      <w:ind w:left="720" w:hanging="0"/>
    </w:pPr>
    <w:rPr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6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9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0" w:customStyle="1">
    <w:name w:val="Подподпункт"/>
    <w:basedOn w:val="Style22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1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jc w:val="both"/>
    </w:pPr>
    <w:rPr>
      <w:sz w:val="26"/>
      <w:szCs w:val="28"/>
      <w:lang w:eastAsia="en-US"/>
    </w:rPr>
  </w:style>
  <w:style w:type="paragraph" w:styleId="Style32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3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Default" w:customStyle="1">
    <w:name w:val="Default"/>
    <w:qFormat/>
    <w:rsid w:val="00553fb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34" w:customStyle="1">
    <w:name w:val="Содержимое врезки"/>
    <w:basedOn w:val="Normal"/>
    <w:qFormat/>
    <w:pPr/>
    <w:rPr/>
  </w:style>
  <w:style w:type="paragraph" w:styleId="Style35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6" w:customStyle="1">
    <w:name w:val="Заголовок таблицы"/>
    <w:basedOn w:val="Style35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numbering" w:styleId="111" w:customStyle="1">
    <w:name w:val="Нет списка1"/>
    <w:uiPriority w:val="99"/>
    <w:semiHidden/>
    <w:unhideWhenUsed/>
    <w:qFormat/>
    <w:rsid w:val="00ba2ff1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8">
    <w:name w:val="Table Grid"/>
    <w:basedOn w:val="a5"/>
    <w:uiPriority w:val="5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5"/>
    <w:uiPriority w:val="59"/>
    <w:rsid w:val="00ba2ff1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7A13E-3D4E-482A-A741-4BAD4AC38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5315</TotalTime>
  <Application>AlterOffice/3.4.0.8$Linux_X86_64 LibreOffice_project/8f3f3c847f0b8d6fea24e251d3d8ed4f23cbe23c</Application>
  <AppVersion>15.0000</AppVersion>
  <Pages>22</Pages>
  <Words>3340</Words>
  <Characters>23617</Characters>
  <CharactersWithSpaces>26579</CharactersWithSpaces>
  <Paragraphs>391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2021-04-04T09:36:00Z</dcterms:created>
  <dc:creator>Быстров Олег Геннадьевич</dc:creator>
  <dc:description/>
  <dc:language>ru-RU</dc:language>
  <cp:lastModifiedBy/>
  <cp:lastPrinted>2024-06-11T05:11:00Z</cp:lastPrinted>
  <dcterms:modified xsi:type="dcterms:W3CDTF">2026-06-23T15:14:48Z</dcterms:modified>
  <cp:revision>133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